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eastAsia="zh-CN"/>
        </w:rPr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643255</wp:posOffset>
                </wp:positionH>
                <wp:positionV relativeFrom="paragraph">
                  <wp:posOffset>22860</wp:posOffset>
                </wp:positionV>
                <wp:extent cx="6423025" cy="1651635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025" cy="16516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sz w:val="28"/>
                                <w:b/>
                                <w:sz w:val="28"/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spacing w:before="0" w:after="40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CURSO DE ENGENHARIA ELÉTRICA – UNIDADE ANGRA DOS REIS</w:t>
                            </w:r>
                          </w:p>
                          <w:p>
                            <w:pPr>
                              <w:pStyle w:val="Contedodoquadro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2700" tIns="12700" rIns="12700" bIns="12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05.75pt;height:130.05pt;mso-wrap-distance-left:9pt;mso-wrap-distance-right:9pt;mso-wrap-distance-top:0pt;mso-wrap-distance-bottom:0pt;margin-top:1.8pt;mso-position-vertical-relative:text;margin-left:50.6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Contedodoquadro"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sz w:val="28"/>
                          <w:b/>
                          <w:sz w:val="28"/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Contedodoquadr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spacing w:before="0" w:after="40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CURSO DE ENGENHARIA ELÉTRICA – UNIDADE ANGRA DOS REIS</w:t>
                      </w:r>
                    </w:p>
                    <w:p>
                      <w:pPr>
                        <w:pStyle w:val="Contedodoquadro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tbl>
      <w:tblPr>
        <w:tblW w:w="10248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3"/>
        <w:gridCol w:w="425"/>
        <w:gridCol w:w="6030"/>
      </w:tblGrid>
      <w:tr>
        <w:trPr/>
        <w:tc>
          <w:tcPr>
            <w:tcW w:w="3793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03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3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eastAsia="Arial" w:cs="Arial" w:ascii="Arial" w:hAnsi="Arial"/>
                <w:b/>
                <w:sz w:val="22"/>
              </w:rPr>
              <w:t xml:space="preserve"> </w:t>
            </w:r>
            <w:r>
              <w:rPr>
                <w:rFonts w:cs="Arial" w:ascii="Arial" w:hAnsi="Arial"/>
                <w:b/>
                <w:sz w:val="22"/>
              </w:rPr>
              <w:t>ENGENHARIA ELÉTRICA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603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  <w:sz w:val="22"/>
              </w:rPr>
              <w:t>ELETRÔNICA DE POTÊNCIA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04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8"/>
        <w:gridCol w:w="168"/>
        <w:gridCol w:w="398"/>
        <w:gridCol w:w="251"/>
        <w:gridCol w:w="214"/>
        <w:gridCol w:w="668"/>
        <w:gridCol w:w="252"/>
        <w:gridCol w:w="173"/>
        <w:gridCol w:w="6"/>
        <w:gridCol w:w="812"/>
        <w:gridCol w:w="283"/>
        <w:gridCol w:w="5"/>
        <w:gridCol w:w="1"/>
        <w:gridCol w:w="27"/>
        <w:gridCol w:w="533"/>
        <w:gridCol w:w="1"/>
        <w:gridCol w:w="32"/>
        <w:gridCol w:w="1526"/>
        <w:gridCol w:w="1"/>
        <w:gridCol w:w="31"/>
        <w:gridCol w:w="251"/>
        <w:gridCol w:w="1"/>
        <w:gridCol w:w="2018"/>
      </w:tblGrid>
      <w:tr>
        <w:trPr/>
        <w:tc>
          <w:tcPr>
            <w:tcW w:w="255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1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80" w:after="80"/>
              <w:rPr>
                <w:sz w:val="22"/>
                <w:sz w:val="22"/>
              </w:rPr>
            </w:pPr>
            <w:bookmarkStart w:id="0" w:name="__DdeLink__361_1827197558"/>
            <w:bookmarkEnd w:id="0"/>
            <w:r>
              <w:rPr>
                <w:sz w:val="22"/>
              </w:rPr>
              <w:t>GEELAR 1701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7º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2017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</w:pPr>
            <w:r>
              <w:rPr>
                <w:rFonts w:cs="Arial" w:ascii="Arial" w:hAnsi="Arial"/>
              </w:rPr>
              <w:t>GEELAR 1502</w:t>
            </w:r>
            <w:r/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5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4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59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019" w:type="dxa"/>
            <w:gridSpan w:val="2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rFonts w:ascii="Arial" w:hAnsi="Arial" w:cs="Arial"/>
              </w:rPr>
            </w:pPr>
            <w:r>
              <w:rPr>
                <w:rFonts w:cs="Arial" w:ascii="Arial" w:hAnsi="Arial"/>
              </w:rPr>
              <w:t>GEELAR 1504</w:t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spacing w:before="80" w:after="80"/>
              <w:jc w:val="center"/>
              <w:rPr>
                <w:sz w:val="16"/>
                <w:sz w:val="16"/>
              </w:rPr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5"/>
            <w:tcBorders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rFonts w:ascii="Arial" w:hAnsi="Arial" w:cs="Arial"/>
                <w:lang w:eastAsia="zh-CN"/>
              </w:rPr>
            </w:pPr>
            <w:bookmarkStart w:id="1" w:name="_GoBack"/>
            <w:bookmarkStart w:id="2" w:name="_GoBack"/>
            <w:bookmarkEnd w:id="2"/>
            <w:r>
              <w:rPr>
                <w:rFonts w:cs="Arial" w:ascii="Arial" w:hAnsi="Arial"/>
                <w:sz w:val="16"/>
              </w:rPr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559" w:type="dxa"/>
            <w:gridSpan w:val="3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559" w:type="dxa"/>
            <w:gridSpan w:val="3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72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50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50"/>
      </w:tblGrid>
      <w:tr>
        <w:trPr/>
        <w:tc>
          <w:tcPr>
            <w:tcW w:w="1025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80" w:after="8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EMENTA</w:t>
            </w:r>
            <w:r/>
          </w:p>
        </w:tc>
      </w:tr>
      <w:tr>
        <w:trPr/>
        <w:tc>
          <w:tcPr>
            <w:tcW w:w="1025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Principais dispositivos semicondutores de potência: diodos, tiristores, transistor BJT, MOSFET, IGBT, GTO etc. Conceituação de potência sob condições não senoidais. Conversores CA-CC: Retificadores não controlados, semi-controlados e controlados. Conversores CC-CC: Buck, Boost e Buck-Boost. Conversores CC-CA: Inversores fonte de tensão e fonte de corrente. Conversores CA-CA: Cicloconversores.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0" w:after="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Básica: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1.M. H. Rashid, Eletrônica de Potência: Dispositivos, Circuitos e Aplicações, Pearson, 4ª Edição, 2015.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2.N. Mohan, T. M. Undeland and W. P. Robbins, Power Electronics: Converters, Applications and Design, John Wiley &amp; Sons, 3rd Edition, 2003.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3.D. Hart, Eletrônica de Potencia: Análise e Projetos de Circuitos, 1ª Edition, McGraw Hill, 2011.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Complementar: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1.N. Mohan, Eletrônica de Potência: Curso Introdutório, LTC, 2014.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2.A. Ahmed, Eletrônica de Potência, Pearson, 2000.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3.F. C. De La Rosa, Harmonics, Power Systems, and Smart Grids, 2nd Edition, CRC Press, 2015.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4.J. E. Chamon, Dispositivos Semicondutores, 13ª Edição, Érica 2013.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5.A. M. Trzynadlowski, Introduction to Modern Power Electronics, 2nd Edition, Wiley, 2010.</w:t>
            </w:r>
            <w:r/>
          </w:p>
        </w:tc>
      </w:tr>
    </w:tbl>
    <w:p>
      <w:pPr>
        <w:pStyle w:val="Normal"/>
        <w:ind w:left="142" w:hanging="0"/>
        <w:rPr>
          <w:lang w:val="en-US" w:eastAsia="zh-CN"/>
        </w:rPr>
      </w:pPr>
      <w:r>
        <w:rPr>
          <w:lang w:val="en-US"/>
        </w:rPr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3"/>
              <w:numPr>
                <w:ilvl w:val="2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left="142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Introduzir os conceitos de conversão de energia através de conversores estáticos. Capacitar o aluno a analisar e projetar conversores básicos, bem como a entender os conceitos de conversão de energia através de conversores que produzem formas de ondas não senoidais e suas implicações na rede elétrica de alimentação.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ind w:firstLine="1026"/>
            </w:pPr>
            <w:r>
              <w:rPr>
                <w:rFonts w:cs="Arial" w:ascii="Arial" w:hAnsi="Arial"/>
              </w:rPr>
              <w:t>- debates, exercícios, leitura de textos.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jc w:val="both"/>
            </w:pPr>
            <w:r>
              <w:rPr>
                <w:rFonts w:cs="Arial" w:ascii="Arial" w:hAnsi="Arial"/>
              </w:rPr>
              <w:t>A avaliação pode ser feita por: provas, listas de exercícios, trabalhos em grupo e/ou seminários.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1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3"/>
        <w:gridCol w:w="5012"/>
      </w:tblGrid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JANAINA VEIGA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CAMILA FERNANDES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36" w:type="dxa"/>
        <w:jc w:val="left"/>
        <w:tblInd w:w="2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10236"/>
      </w:tblGrid>
      <w:tr>
        <w:trPr/>
        <w:tc>
          <w:tcPr>
            <w:tcW w:w="10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100" w:type="dxa"/>
            </w:tcMar>
          </w:tcPr>
          <w:p>
            <w:pPr>
              <w:pStyle w:val="Ttulo4"/>
              <w:numPr>
                <w:ilvl w:val="3"/>
                <w:numId w:val="1"/>
              </w:numPr>
              <w:spacing w:before="120" w:after="12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right w:val="single" w:sz="12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40" w:after="40"/>
            </w:pPr>
            <w:r>
              <w:rPr>
                <w:rFonts w:cs="Times New Roman"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ELETRÔNICOS DE POTÊNCIA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Eletrônica de Potência vs Eletrônica Linear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Aplicações de Eletrônica de Potência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Tipos de circuito de eletrônica de potência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Dispositivos semicondutores de potência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Diodos de potência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Tiristores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Transistores de junção bipolar (BJTs)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MOSFETs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GTOs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IGBTs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Novos materiais e tecnologias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Circuitos de 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drive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 e 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snubber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Dissipação de calor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Formas de onda não-senoidais em regime permanente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Análise de Fourier de ondas periódicas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Distorção harmônica</w:t>
            </w:r>
            <w:r/>
          </w:p>
          <w:p>
            <w:pPr>
              <w:pStyle w:val="Normal"/>
              <w:numPr>
                <w:ilvl w:val="2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Potência e fator de potência</w:t>
            </w:r>
            <w:r/>
          </w:p>
          <w:p>
            <w:pPr>
              <w:pStyle w:val="Normal"/>
              <w:numPr>
                <w:ilvl w:val="1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Princípios de simulação computacional de conversores e sistemas eletrônicos de potência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CA-CC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Circuitos não controlados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Retificadores monofásicos a diodos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Retificadores trifásicos a diodos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 xml:space="preserve">Corrente de 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 xml:space="preserve">inrush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 sobretensão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Circuitos controlados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dos tiristores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monofásicos a tiristores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trifásicos a tiristores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Operação como inversor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CC-CC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Ciclo de trabalho para controle de conversores CC-CC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Modulação por largura de pulso (PWM)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 abaixador de tensão (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Buck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)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 elevador de tensão (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Boost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)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 abaixador-elevador de tensão (</w:t>
            </w:r>
            <w:r>
              <w:rPr>
                <w:rFonts w:cs="Arial" w:ascii="Arial" w:hAnsi="Arial"/>
                <w:b w:val="false"/>
                <w:bCs w:val="false"/>
                <w:i/>
                <w:sz w:val="20"/>
                <w:szCs w:val="20"/>
              </w:rPr>
              <w:t>Buck-Boost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)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Outras configurações de conversores abaixador-elevador de tensão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 CC-CC em ponte completa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CC-CA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Inversor monofásico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Meia ponte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Ponte completa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de tensão de inversores monofásicos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Modulação por largura de pulsos múltiplos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Modulação por largura de pulso senoidal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Modulação por largura de pulso senoidal modificada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por deslocamento de fase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Inversor trifásico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Controlado por tensão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Controlado por corrente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de tensão de inversores trifásicos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PWM senoidal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PWM de terceiro harmônico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Técnica de eliminação de harmônicos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Modulação por vetores espaciais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CA-CA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Cicloconversores</w:t>
            </w:r>
            <w:r/>
          </w:p>
        </w:tc>
      </w:tr>
    </w:tbl>
    <w:p>
      <w:pPr>
        <w:pStyle w:val="Normal"/>
        <w:spacing w:before="40" w:after="40"/>
        <w:rPr>
          <w:lang w:eastAsia="zh-CN"/>
        </w:rPr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4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"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compat>
    <w:compatSetting w:name="compatibilityMode" w:uri="http://schemas.microsoft.com/office/word" w:val="1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nhideWhenUsed="0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zh-CN" w:val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 w:cs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uiPriority w:val="1"/>
    <w:unhideWhenUsed/>
    <w:rPr/>
  </w:style>
  <w:style w:type="character" w:styleId="WW8Num1z0" w:customStyle="1">
    <w:name w:val="WW8Num1z0"/>
    <w:rPr/>
  </w:style>
  <w:style w:type="character" w:styleId="WW8Num1z1" w:customStyle="1">
    <w:name w:val="WW8Num1z1"/>
    <w:rPr/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Fontepargpadro1" w:customStyle="1">
    <w:name w:val="Fonte parág. padrão1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11" w:customStyle="1">
    <w:name w:val="Títul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tedodoquadro" w:customStyle="1">
    <w:name w:val="Conteúdo do quadro"/>
    <w:basedOn w:val="Normal"/>
    <w:pPr/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máscara para ementa.dotx</Template>
  <TotalTime>98</TotalTime>
  <Application>LibreOffice/4.3.5.2$Windows_x86 LibreOffice_project/3a87456aaa6a95c63eea1c1b3201acedf0751bd5</Application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2017-03-13T13:33:00Z</dcterms:created>
  <dc:creator>Camila Fernandes</dc:creator>
  <dc:language>pt-BR</dc:language>
  <cp:lastPrinted>1997-06-12T06:05:00Z</cp:lastPrinted>
  <dcterms:modified xsi:type="dcterms:W3CDTF">2017-05-04T10:13:29Z</dcterms:modified>
  <cp:revision>3</cp:revision>
  <dc:title>MINISTÉRIO DA EDUCAÇÃO E DO DESPORTO</dc:title>
</cp:coreProperties>
</file>